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00" w:lineRule="auto"/>
      </w:pPr>
      <w:r>
        <w:rPr>
          <w:rFonts w:ascii="Aptos" w:hAnsi="Aptos"/>
          <w:b/>
          <w:color w:val="D9A83E"/>
          <w:sz w:val="18"/>
        </w:rPr>
        <w:t>JV PARTNER RESOURCE</w:t>
      </w:r>
    </w:p>
    <w:p>
      <w:pPr>
        <w:spacing w:before="0" w:after="160" w:line="300" w:lineRule="auto"/>
      </w:pPr>
      <w:r>
        <w:rPr>
          <w:rFonts w:ascii="Aptos" w:hAnsi="Aptos"/>
          <w:b/>
          <w:color w:val="0C211B"/>
          <w:sz w:val="58"/>
        </w:rPr>
        <w:t>Lead Magnet Forge Review Copy</w:t>
      </w:r>
    </w:p>
    <w:p>
      <w:pPr>
        <w:spacing w:before="0" w:after="320" w:line="300" w:lineRule="auto"/>
      </w:pPr>
      <w:r>
        <w:rPr>
          <w:rFonts w:ascii="Aptos" w:hAnsi="Aptos"/>
          <w:b w:val="0"/>
          <w:color w:val="5F6E67"/>
          <w:sz w:val="26"/>
        </w:rPr>
        <w:t>A customizable, disclosure-ready long-form review for blogs, bridge pages, newsletters, and video descriptions.</w:t>
      </w:r>
    </w:p>
    <w:tbl>
      <w:tblPr>
        <w:tblW w:type="auto" w:w="0"/>
        <w:jc w:val="left"/>
        <w:tblLayout w:type="fixed"/>
        <w:tblLook w:firstColumn="1" w:firstRow="1" w:lastColumn="0" w:lastRow="0" w:noHBand="0" w:noVBand="1" w:val="04A0"/>
      </w:tblPr>
      <w:tblGrid>
        <w:gridCol w:w="2700"/>
        <w:gridCol w:w="6660"/>
      </w:tblGrid>
      <w:tr>
        <w:tc>
          <w:tcPr>
            <w:tcW w:type="dxa" w:w="4680"/>
            <w:tcMar>
              <w:top w:w="120" w:type="dxa"/>
              <w:start w:w="160" w:type="dxa"/>
              <w:bottom w:w="120" w:type="dxa"/>
              <w:end w:w="160" w:type="dxa"/>
            </w:tcMar>
            <w:vAlign w:val="center"/>
            <w:shd w:fill="145A46"/>
          </w:tcPr>
          <w:p>
            <w:r>
              <w:rPr>
                <w:rFonts w:ascii="Aptos" w:hAnsi="Aptos"/>
                <w:b/>
                <w:color w:val="FFFFFF"/>
                <w:sz w:val="18"/>
              </w:rPr>
              <w:t>HOW TO USE</w:t>
            </w:r>
          </w:p>
        </w:tc>
        <w:tc>
          <w:tcPr>
            <w:tcW w:type="dxa" w:w="4680"/>
            <w:tcMar>
              <w:top w:w="120" w:type="dxa"/>
              <w:start w:w="160" w:type="dxa"/>
              <w:bottom w:w="120" w:type="dxa"/>
              <w:end w:w="160" w:type="dxa"/>
            </w:tcMar>
            <w:vAlign w:val="center"/>
            <w:shd w:fill="E8F3ED"/>
          </w:tcPr>
          <w:p>
            <w:r>
              <w:rPr>
                <w:rFonts w:ascii="Aptos" w:hAnsi="Aptos"/>
                <w:b w:val="0"/>
                <w:color w:val="17211D"/>
                <w:sz w:val="19"/>
              </w:rPr>
              <w:t>Replace bracketed fields, add your tracked JVZoo affiliate link, disclose your affiliate relationship, and verify current pricing before publishing.</w:t>
            </w:r>
          </w:p>
        </w:tc>
      </w:tr>
    </w:tbl>
    <w:p>
      <w:pPr>
        <w:spacing w:before="0" w:after="80" w:line="300" w:lineRule="auto"/>
      </w:pPr>
      <w:r>
        <w:rPr>
          <w:rFonts w:ascii="Aptos" w:hAnsi="Aptos"/>
          <w:b w:val="0"/>
          <w:color w:val="17211D"/>
          <w:sz w:val="22"/>
        </w:rPr>
      </w:r>
    </w:p>
    <w:p>
      <w:pPr>
        <w:pStyle w:val="Heading1"/>
      </w:pPr>
      <w:r>
        <w:t>Editorial Rules Before Publishing</w:t>
      </w:r>
    </w:p>
    <w:p>
      <w:pPr>
        <w:pStyle w:val="ListBullet"/>
        <w:spacing w:after="80" w:line="300" w:lineRule="auto"/>
        <w:ind w:left="540" w:hanging="271"/>
      </w:pPr>
      <w:r>
        <w:rPr>
          <w:rFonts w:ascii="Aptos" w:hAnsi="Aptos"/>
          <w:b w:val="0"/>
          <w:color w:val="17211D"/>
          <w:sz w:val="22"/>
        </w:rPr>
        <w:t>Do not claim personal use, results, or income unless those statements are true and supportable.</w:t>
      </w:r>
    </w:p>
    <w:p>
      <w:pPr>
        <w:pStyle w:val="ListBullet"/>
        <w:spacing w:after="80" w:line="300" w:lineRule="auto"/>
        <w:ind w:left="540" w:hanging="271"/>
      </w:pPr>
      <w:r>
        <w:rPr>
          <w:rFonts w:ascii="Aptos" w:hAnsi="Aptos"/>
          <w:b w:val="0"/>
          <w:color w:val="17211D"/>
          <w:sz w:val="22"/>
        </w:rPr>
        <w:t>Replace every bracketed field and add your own observations after reviewing the demo or product.</w:t>
      </w:r>
    </w:p>
    <w:p>
      <w:pPr>
        <w:pStyle w:val="ListBullet"/>
        <w:spacing w:after="80" w:line="300" w:lineRule="auto"/>
        <w:ind w:left="540" w:hanging="271"/>
      </w:pPr>
      <w:r>
        <w:rPr>
          <w:rFonts w:ascii="Aptos" w:hAnsi="Aptos"/>
          <w:b w:val="0"/>
          <w:color w:val="17211D"/>
          <w:sz w:val="22"/>
        </w:rPr>
        <w:t>Disclose your affiliate relationship near the first affiliate link—not only in the footer.</w:t>
      </w:r>
    </w:p>
    <w:p>
      <w:pPr>
        <w:pStyle w:val="ListBullet"/>
        <w:spacing w:after="80" w:line="300" w:lineRule="auto"/>
        <w:ind w:left="540" w:hanging="271"/>
      </w:pPr>
      <w:r>
        <w:rPr>
          <w:rFonts w:ascii="Aptos" w:hAnsi="Aptos"/>
          <w:b w:val="0"/>
          <w:color w:val="17211D"/>
          <w:sz w:val="22"/>
        </w:rPr>
        <w:t>Confirm current prices, allowances, renewal terms, and refund terms on the official page and JVZoo checkout.</w:t>
      </w:r>
    </w:p>
    <w:p>
      <w:r>
        <w:br w:type="page"/>
      </w:r>
    </w:p>
    <w:p>
      <w:pPr>
        <w:pStyle w:val="Heading1"/>
      </w:pPr>
      <w:r>
        <w:t>Suggested Title</w:t>
      </w:r>
    </w:p>
    <w:p>
      <w:pPr>
        <w:spacing w:before="0" w:after="120" w:line="300" w:lineRule="auto"/>
      </w:pPr>
      <w:r>
        <w:rPr>
          <w:rFonts w:ascii="Aptos" w:hAnsi="Aptos"/>
          <w:b w:val="0"/>
          <w:color w:val="17211D"/>
          <w:sz w:val="22"/>
        </w:rPr>
        <w:t>Lead Magnet Forge Review: From AI Ebook Brief To Published Lead-Capture System</w:t>
      </w:r>
    </w:p>
    <w:p>
      <w:pPr>
        <w:pStyle w:val="Heading1"/>
      </w:pPr>
      <w:r>
        <w:t>Disclosure</w:t>
      </w:r>
    </w:p>
    <w:p>
      <w:pPr>
        <w:spacing w:before="0" w:after="120" w:line="300" w:lineRule="auto"/>
      </w:pPr>
      <w:r>
        <w:rPr>
          <w:rFonts w:ascii="Aptos" w:hAnsi="Aptos"/>
          <w:b w:val="0"/>
          <w:color w:val="17211D"/>
          <w:sz w:val="22"/>
        </w:rPr>
        <w:t>Disclosure: This review contains affiliate links. If you purchase through one of these links, I may earn a commission at no additional cost to you. This does not affect the price you pay or the standards used in this review.</w:t>
      </w:r>
    </w:p>
    <w:p>
      <w:pPr>
        <w:pStyle w:val="Heading2"/>
      </w:pPr>
      <w:r>
        <w:t>Opening</w:t>
      </w:r>
    </w:p>
    <w:p>
      <w:pPr>
        <w:spacing w:before="0" w:after="120" w:line="300" w:lineRule="auto"/>
      </w:pPr>
      <w:r>
        <w:rPr>
          <w:rFonts w:ascii="Aptos" w:hAnsi="Aptos"/>
          <w:b w:val="0"/>
          <w:color w:val="17211D"/>
          <w:sz w:val="22"/>
        </w:rPr>
        <w:t>Most lead-magnet tools solve only the writing problem. They can produce paragraphs, but users are still left to edit the document, design the PDF, host the file, build an opt-in form, deliver the download, and determine whether leads actually received it. Lead Magnet Forge is designed around that larger workflow.</w:t>
      </w:r>
    </w:p>
    <w:p>
      <w:pPr>
        <w:pStyle w:val="Heading2"/>
      </w:pPr>
      <w:r>
        <w:t>What Lead Magnet Forge Is</w:t>
      </w:r>
    </w:p>
    <w:p>
      <w:pPr>
        <w:spacing w:before="0" w:after="120" w:line="300" w:lineRule="auto"/>
      </w:pPr>
      <w:r>
        <w:rPr>
          <w:rFonts w:ascii="Aptos" w:hAnsi="Aptos"/>
          <w:b w:val="0"/>
          <w:color w:val="17211D"/>
          <w:sz w:val="22"/>
        </w:rPr>
        <w:t>Lead Magnet Forge is a browser-based application for creating and managing lead magnets. A user starts with a short brief describing the topic, audience, and writing tone. The application generates an editable five-chapter ebook, then carries that content into a design workflow for previewing, publishing, and downloading the finished PDF. The same workspace provides a customizable opt-in form, embed code, lead capture, and delivery reporting.</w:t>
      </w:r>
    </w:p>
    <w:p>
      <w:pPr>
        <w:pStyle w:val="Heading2"/>
      </w:pPr>
      <w:r>
        <w:t>The Core Workflow</w:t>
      </w:r>
    </w:p>
    <w:p>
      <w:pPr>
        <w:spacing w:before="0" w:after="120" w:line="300" w:lineRule="auto"/>
      </w:pPr>
      <w:r>
        <w:rPr>
          <w:rFonts w:ascii="Aptos" w:hAnsi="Aptos"/>
          <w:b w:val="0"/>
          <w:color w:val="17211D"/>
          <w:sz w:val="22"/>
        </w:rPr>
        <w:t>The product follows four practical stages. First, define the promise, audience, and tone. Second, generate and edit the ebook content. Third, choose the visual system and review the multi-page PDF. Fourth, publish the asset, configure the opt-in form, and use the embed code on a supported website or page. The My Ebooks and Leads areas then keep the asset, publication state, and captured leads connected.</w:t>
      </w:r>
    </w:p>
    <w:p>
      <w:pPr>
        <w:pStyle w:val="Heading2"/>
      </w:pPr>
      <w:r>
        <w:t>What The Front End Includes</w:t>
      </w:r>
    </w:p>
    <w:p>
      <w:pPr>
        <w:spacing w:before="0" w:after="120" w:line="300" w:lineRule="auto"/>
      </w:pPr>
      <w:r>
        <w:rPr>
          <w:rFonts w:ascii="Aptos" w:hAnsi="Aptos"/>
          <w:b w:val="0"/>
          <w:color w:val="17211D"/>
          <w:sz w:val="22"/>
        </w:rPr>
        <w:t>The regular Front End price is $37 one time. During the seven-day launch, the schedule begins at $32 for days one and two, then rises by $1 per day until reaching $37. The Front End includes five AI ebook generations per month, editable five-chapter ebooks, PDF design and publishing, opt-in forms and embed code, a real Leads dashboard, 100 monthly Resend fallback deliveries, and five fast-action bonuses.</w:t>
      </w:r>
    </w:p>
    <w:p>
      <w:r>
        <w:br w:type="page"/>
      </w:r>
    </w:p>
    <w:p>
      <w:pPr>
        <w:pStyle w:val="Heading2"/>
      </w:pPr>
      <w:r>
        <w:t>Where The Product Is Strong</w:t>
      </w:r>
    </w:p>
    <w:p>
      <w:pPr>
        <w:spacing w:before="0" w:after="120" w:line="300" w:lineRule="auto"/>
      </w:pPr>
      <w:r>
        <w:rPr>
          <w:rFonts w:ascii="Aptos" w:hAnsi="Aptos"/>
          <w:b w:val="0"/>
          <w:color w:val="17211D"/>
          <w:sz w:val="22"/>
        </w:rPr>
        <w:t>The strongest aspect is continuity. Generated content is not treated as a disposable chat response; it becomes an editable ebook connected to a design, publication, form, leads, and delivery history. The product also makes upgrade boundaries visible. Users can begin with the Front End and decide later whether direct ESP routing, premium templates, email sequences, or agency workflows match their needs.</w:t>
      </w:r>
    </w:p>
    <w:p>
      <w:pPr>
        <w:pStyle w:val="Heading2"/>
      </w:pPr>
      <w:r>
        <w:t>Important Considerations</w:t>
      </w:r>
    </w:p>
    <w:p>
      <w:pPr>
        <w:spacing w:before="0" w:after="120" w:line="300" w:lineRule="auto"/>
      </w:pPr>
      <w:r>
        <w:rPr>
          <w:rFonts w:ascii="Aptos" w:hAnsi="Aptos"/>
          <w:b w:val="0"/>
          <w:color w:val="17211D"/>
          <w:sz w:val="22"/>
        </w:rPr>
        <w:t>AI-generated content still requires human review. Users should verify claims, add original expertise, correct any inaccuracies, and make sure the final asset matches their brand and audience. The Front End has monthly creation and fallback-delivery allowances. Advanced capabilities are optional upgrades, and OTO 1 is a $37 monthly subscription billed from the day of purchase until cancelled. Review every checkout term before purchasing.</w:t>
      </w:r>
    </w:p>
    <w:p>
      <w:pPr>
        <w:pStyle w:val="Heading2"/>
      </w:pPr>
      <w:r>
        <w:t>Optional Upgrade 1 — Unlimited + Auto-ESP</w:t>
      </w:r>
    </w:p>
    <w:p>
      <w:pPr>
        <w:spacing w:before="0" w:after="120" w:line="300" w:lineRule="auto"/>
      </w:pPr>
      <w:r>
        <w:rPr>
          <w:rFonts w:ascii="Aptos" w:hAnsi="Aptos"/>
          <w:b w:val="0"/>
          <w:color w:val="17211D"/>
          <w:sz w:val="22"/>
        </w:rPr>
        <w:t>OTO 1 costs $37 today and then $37 per month until cancelled. It adds unlimited personal ebook creation under fair-use protection, direct lead routing to Mailchimp, GetResponse, AWeber, or Kit, 300 monthly fallback deliveries, provider-specific setup guidance, Lead Recovery Queue, Automatic Retry, and ESP Health Monitor. It is most relevant to users who want ongoing creation and delivery infrastructure.</w:t>
      </w:r>
    </w:p>
    <w:p>
      <w:pPr>
        <w:pStyle w:val="Heading2"/>
      </w:pPr>
      <w:r>
        <w:t>Optional Upgrade 2 — DFY Template Systems</w:t>
      </w:r>
    </w:p>
    <w:p>
      <w:pPr>
        <w:spacing w:before="0" w:after="120" w:line="300" w:lineRule="auto"/>
      </w:pPr>
      <w:r>
        <w:rPr>
          <w:rFonts w:ascii="Aptos" w:hAnsi="Aptos"/>
          <w:b w:val="0"/>
          <w:color w:val="17211D"/>
          <w:sz w:val="22"/>
        </w:rPr>
        <w:t>OTO 2 is a $37 one-time upgrade. It expands the design system to 18 niche-aware premium templates with multi-page previews, palette and font controls, layout-density choices, content-aware components, coordinated internal pages, and rendering quality checks.</w:t>
      </w:r>
    </w:p>
    <w:p>
      <w:pPr>
        <w:pStyle w:val="Heading2"/>
      </w:pPr>
      <w:r>
        <w:t>Optional Upgrade 3 — Email Sequences</w:t>
      </w:r>
    </w:p>
    <w:p>
      <w:pPr>
        <w:spacing w:before="0" w:after="120" w:line="300" w:lineRule="auto"/>
      </w:pPr>
      <w:r>
        <w:rPr>
          <w:rFonts w:ascii="Aptos" w:hAnsi="Aptos"/>
          <w:b w:val="0"/>
          <w:color w:val="17211D"/>
          <w:sz w:val="22"/>
        </w:rPr>
        <w:t>OTO 3 is a $47 one-time upgrade for generating coordinated five-, six-, or seven-email campaigns. Users choose a campaign goal and writing style, then edit, save, reload, regenerate, and copy each email. The application does not automatically push campaigns into the ESP; it provides copy-and-paste guidance.</w:t>
      </w:r>
    </w:p>
    <w:p>
      <w:r>
        <w:br w:type="page"/>
      </w:r>
    </w:p>
    <w:p>
      <w:pPr>
        <w:pStyle w:val="Heading2"/>
      </w:pPr>
      <w:r>
        <w:t>Optional Upgrade 4 — Agency License</w:t>
      </w:r>
    </w:p>
    <w:p>
      <w:pPr>
        <w:spacing w:before="0" w:after="120" w:line="300" w:lineRule="auto"/>
      </w:pPr>
      <w:r>
        <w:rPr>
          <w:rFonts w:ascii="Aptos" w:hAnsi="Aptos"/>
          <w:b w:val="0"/>
          <w:color w:val="17211D"/>
          <w:sz w:val="22"/>
        </w:rPr>
        <w:t>OTO 4 is a $197 one-time upgrade for service providers. It adds Client Workspaces, client-specific ebooks and forms, approval and re-approval, Client Delivery Portals, downloadable deliverables, email-sequence assets, and Agency Growth Accelerator resources.</w:t>
      </w:r>
    </w:p>
    <w:p>
      <w:pPr>
        <w:pStyle w:val="Heading2"/>
      </w:pPr>
      <w:r>
        <w:t>Who It Is Best For</w:t>
      </w:r>
    </w:p>
    <w:p>
      <w:pPr>
        <w:spacing w:before="0" w:after="120" w:line="300" w:lineRule="auto"/>
      </w:pPr>
      <w:r>
        <w:rPr>
          <w:rFonts w:ascii="Aptos" w:hAnsi="Aptos"/>
          <w:b w:val="0"/>
          <w:color w:val="17211D"/>
          <w:sz w:val="22"/>
        </w:rPr>
        <w:t>Lead Magnet Forge is a practical fit for creators, coaches, consultants, course sellers, newsletter operators, email marketers, local-business marketers, freelancers, and agencies that need a repeatable way to build list-growth assets. It may be less suitable for someone who wants fully autonomous marketing with no review, editing, traffic strategy, or follow-up work.</w:t>
      </w:r>
    </w:p>
    <w:p>
      <w:pPr>
        <w:pStyle w:val="Heading2"/>
      </w:pPr>
      <w:r>
        <w:t>Verdict</w:t>
      </w:r>
    </w:p>
    <w:p>
      <w:pPr>
        <w:spacing w:before="0" w:after="120" w:line="300" w:lineRule="auto"/>
      </w:pPr>
      <w:r>
        <w:rPr>
          <w:rFonts w:ascii="Aptos" w:hAnsi="Aptos"/>
          <w:b w:val="0"/>
          <w:color w:val="17211D"/>
          <w:sz w:val="22"/>
        </w:rPr>
        <w:t>Lead Magnet Forge is best understood as a connected lead-magnet production and delivery workspace, not simply an AI ebook generator. Its value comes from bringing content, design, publishing, opt-in capture, delivery, and lead management into one workflow. If those steps currently require several disconnected tools or manual handoffs, the official demo is worth reviewing.</w:t>
      </w:r>
    </w:p>
    <w:p>
      <w:pPr>
        <w:pStyle w:val="Heading1"/>
      </w:pPr>
      <w:r>
        <w:t>Call To Action</w:t>
      </w:r>
    </w:p>
    <w:p>
      <w:pPr>
        <w:spacing w:before="0" w:after="120" w:line="300" w:lineRule="auto"/>
      </w:pPr>
      <w:r>
        <w:rPr>
          <w:rFonts w:ascii="Aptos" w:hAnsi="Aptos"/>
          <w:b w:val="0"/>
          <w:color w:val="17211D"/>
          <w:sz w:val="22"/>
        </w:rPr>
        <w:t>See the current Lead Magnet Forge offer, live price, bonuses, upgrade disclosures, and checkout terms here: {{AFFILIATE_LINK}}</w:t>
      </w:r>
    </w:p>
    <w:p>
      <w:pPr>
        <w:pStyle w:val="Heading1"/>
      </w:pPr>
      <w:r>
        <w:t>Quick FAQ</w:t>
      </w:r>
    </w:p>
    <w:p>
      <w:pPr>
        <w:pStyle w:val="Heading3"/>
      </w:pPr>
      <w:r>
        <w:t>Can I edit a published ebook?</w:t>
      </w:r>
    </w:p>
    <w:p>
      <w:pPr>
        <w:spacing w:before="0" w:after="120" w:line="300" w:lineRule="auto"/>
      </w:pPr>
      <w:r>
        <w:rPr>
          <w:rFonts w:ascii="Aptos" w:hAnsi="Aptos"/>
          <w:b w:val="0"/>
          <w:color w:val="17211D"/>
          <w:sz w:val="22"/>
        </w:rPr>
        <w:t>Yes. The product supports reopening the ebook workflow, editing the content and design settings, and retrieving embed code.</w:t>
      </w:r>
    </w:p>
    <w:p>
      <w:pPr>
        <w:pStyle w:val="Heading3"/>
      </w:pPr>
      <w:r>
        <w:t>Does the Front End require an ESP?</w:t>
      </w:r>
    </w:p>
    <w:p>
      <w:pPr>
        <w:spacing w:before="0" w:after="120" w:line="300" w:lineRule="auto"/>
      </w:pPr>
      <w:r>
        <w:rPr>
          <w:rFonts w:ascii="Aptos" w:hAnsi="Aptos"/>
          <w:b w:val="0"/>
          <w:color w:val="17211D"/>
          <w:sz w:val="22"/>
        </w:rPr>
        <w:t>No. It includes 100 monthly fallback deliveries. A supported ESP connection is optional through OTO 1.</w:t>
      </w:r>
    </w:p>
    <w:p>
      <w:pPr>
        <w:pStyle w:val="Heading3"/>
      </w:pPr>
      <w:r>
        <w:t>Does Lead Magnet Forge guarantee leads or income?</w:t>
      </w:r>
    </w:p>
    <w:p>
      <w:pPr>
        <w:spacing w:before="0" w:after="120" w:line="300" w:lineRule="auto"/>
      </w:pPr>
      <w:r>
        <w:rPr>
          <w:rFonts w:ascii="Aptos" w:hAnsi="Aptos"/>
          <w:b w:val="0"/>
          <w:color w:val="17211D"/>
          <w:sz w:val="22"/>
        </w:rPr>
        <w:t>No. Results depend on the offer, audience, traffic, implementation, and follow-up.</w:t>
      </w:r>
    </w:p>
    <w:p>
      <w:pPr>
        <w:pStyle w:val="Heading3"/>
      </w:pPr>
      <w:r>
        <w:t>Are all upgrades required?</w:t>
      </w:r>
    </w:p>
    <w:p>
      <w:pPr>
        <w:spacing w:before="0" w:after="120" w:line="300" w:lineRule="auto"/>
      </w:pPr>
      <w:r>
        <w:rPr>
          <w:rFonts w:ascii="Aptos" w:hAnsi="Aptos"/>
          <w:b w:val="0"/>
          <w:color w:val="17211D"/>
          <w:sz w:val="22"/>
        </w:rPr>
        <w:t>No. Each upgrade serves a separate use case and should be evaluated on its own terms.</w:t>
      </w:r>
    </w:p>
    <w:p>
      <w:pPr>
        <w:pStyle w:val="Heading3"/>
      </w:pPr>
      <w:r>
        <w:t>Is OTO 1 a one-time purchase?</w:t>
      </w:r>
    </w:p>
    <w:p>
      <w:pPr>
        <w:spacing w:before="0" w:after="120" w:line="300" w:lineRule="auto"/>
      </w:pPr>
      <w:r>
        <w:rPr>
          <w:rFonts w:ascii="Aptos" w:hAnsi="Aptos"/>
          <w:b w:val="0"/>
          <w:color w:val="17211D"/>
          <w:sz w:val="22"/>
        </w:rPr>
        <w:t>No. It is $37 today and renews at $37 monthly until cancelled, subject to checkout terms.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F6E67"/>
        <w:sz w:val="16"/>
      </w:rPr>
      <w:t>Approved partner resource  •  Customize responsibly  •  leadmagnetforge.com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45A46"/>
        <w:sz w:val="17"/>
      </w:rPr>
      <w:t>LEAD MAGNET FORGE  |  JV PARTNER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1721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145A46"/>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145A4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0C211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